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B3D6C">
      <w:pPr>
        <w:spacing w:line="500" w:lineRule="exact"/>
        <w:jc w:val="center"/>
        <w:outlineLvl w:val="0"/>
        <w:rPr>
          <w:rFonts w:ascii="Times New Roman" w:hAnsi="Times New Roman"/>
          <w:b/>
          <w:color w:val="auto"/>
          <w:sz w:val="44"/>
          <w:szCs w:val="44"/>
          <w:highlight w:val="none"/>
        </w:rPr>
      </w:pPr>
      <w:bookmarkStart w:id="0" w:name="_Toc1519"/>
      <w:bookmarkStart w:id="1" w:name="_Toc31956"/>
      <w:r>
        <w:rPr>
          <w:rFonts w:ascii="Times New Roman" w:hAnsi="Times New Roman"/>
          <w:b/>
          <w:color w:val="auto"/>
          <w:sz w:val="44"/>
          <w:szCs w:val="44"/>
          <w:highlight w:val="none"/>
        </w:rPr>
        <w:t>第四</w:t>
      </w:r>
      <w:r>
        <w:rPr>
          <w:rFonts w:hint="eastAsia" w:ascii="Times New Roman" w:hAnsi="Times New Roman"/>
          <w:b/>
          <w:color w:val="auto"/>
          <w:sz w:val="44"/>
          <w:szCs w:val="44"/>
          <w:highlight w:val="none"/>
        </w:rPr>
        <w:t xml:space="preserve">章  </w:t>
      </w:r>
      <w:r>
        <w:rPr>
          <w:rFonts w:ascii="Times New Roman" w:hAnsi="Times New Roman"/>
          <w:b/>
          <w:color w:val="auto"/>
          <w:sz w:val="44"/>
          <w:szCs w:val="44"/>
          <w:highlight w:val="none"/>
        </w:rPr>
        <w:t>采购需求</w:t>
      </w:r>
      <w:bookmarkEnd w:id="0"/>
      <w:bookmarkEnd w:id="1"/>
    </w:p>
    <w:p w14:paraId="589780B9">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项目属性：</w:t>
      </w:r>
      <w:r>
        <w:rPr>
          <w:rFonts w:hint="eastAsia" w:ascii="宋体" w:hAnsi="宋体"/>
          <w:b/>
          <w:color w:val="auto"/>
          <w:sz w:val="24"/>
          <w:szCs w:val="24"/>
          <w:highlight w:val="none"/>
          <w:lang w:val="en-US" w:eastAsia="zh-CN"/>
        </w:rPr>
        <w:t>服务</w:t>
      </w:r>
      <w:r>
        <w:rPr>
          <w:rFonts w:hint="eastAsia" w:ascii="宋体" w:hAnsi="宋体"/>
          <w:b/>
          <w:color w:val="auto"/>
          <w:sz w:val="24"/>
          <w:szCs w:val="24"/>
          <w:highlight w:val="none"/>
        </w:rPr>
        <w:t>类项目</w:t>
      </w:r>
    </w:p>
    <w:p w14:paraId="0C73826F">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本项目采购标的对应的中小企业划分标准所属行业：</w:t>
      </w:r>
      <w:r>
        <w:rPr>
          <w:rFonts w:hint="eastAsia" w:ascii="宋体" w:hAnsi="宋体"/>
          <w:b/>
          <w:color w:val="auto"/>
          <w:sz w:val="24"/>
          <w:szCs w:val="24"/>
          <w:highlight w:val="none"/>
          <w:lang w:val="en-US" w:eastAsia="zh-CN"/>
        </w:rPr>
        <w:t>服务</w:t>
      </w:r>
      <w:r>
        <w:rPr>
          <w:rFonts w:hint="eastAsia" w:ascii="宋体" w:hAnsi="宋体"/>
          <w:b/>
          <w:color w:val="auto"/>
          <w:sz w:val="24"/>
          <w:szCs w:val="24"/>
          <w:highlight w:val="none"/>
        </w:rPr>
        <w:t>业。</w:t>
      </w:r>
    </w:p>
    <w:p w14:paraId="5BE41068">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本项目不接受进口产品。</w:t>
      </w:r>
    </w:p>
    <w:p w14:paraId="5BBB11FD">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（一）项目概况：</w:t>
      </w:r>
    </w:p>
    <w:p w14:paraId="745DEDC7">
      <w:pPr>
        <w:pStyle w:val="12"/>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1.</w:t>
      </w:r>
      <w:r>
        <w:rPr>
          <w:rFonts w:hint="eastAsia" w:cs="仿宋"/>
          <w:color w:val="auto"/>
          <w:sz w:val="24"/>
          <w:szCs w:val="22"/>
          <w:highlight w:val="none"/>
          <w:lang w:val="en-US" w:eastAsia="zh-CN" w:bidi="ar-SA"/>
        </w:rPr>
        <w:t>项目</w:t>
      </w:r>
      <w:r>
        <w:rPr>
          <w:rFonts w:hint="eastAsia" w:ascii="Times New Roman" w:hAnsi="Times New Roman" w:eastAsia="宋体" w:cs="仿宋"/>
          <w:color w:val="auto"/>
          <w:sz w:val="24"/>
          <w:szCs w:val="22"/>
          <w:highlight w:val="none"/>
          <w:lang w:val="en-US" w:eastAsia="zh-CN" w:bidi="ar-SA"/>
        </w:rPr>
        <w:t>名称：</w:t>
      </w:r>
      <w:r>
        <w:rPr>
          <w:rFonts w:hint="eastAsia" w:cs="仿宋"/>
          <w:color w:val="auto"/>
          <w:sz w:val="24"/>
          <w:szCs w:val="22"/>
          <w:highlight w:val="none"/>
          <w:lang w:val="en-US" w:eastAsia="zh-CN" w:bidi="ar-SA"/>
        </w:rPr>
        <w:t>沭阳县9座水质自动监测站运维项目</w:t>
      </w:r>
      <w:r>
        <w:rPr>
          <w:rFonts w:hint="eastAsia" w:ascii="Times New Roman" w:hAnsi="Times New Roman" w:eastAsia="宋体" w:cs="仿宋"/>
          <w:color w:val="auto"/>
          <w:sz w:val="24"/>
          <w:szCs w:val="22"/>
          <w:highlight w:val="none"/>
          <w:lang w:val="en-US" w:eastAsia="zh-CN" w:bidi="ar-SA"/>
        </w:rPr>
        <w:t xml:space="preserve"> </w:t>
      </w:r>
    </w:p>
    <w:p w14:paraId="4EC0E640">
      <w:pPr>
        <w:pStyle w:val="12"/>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w:t>
      </w:r>
      <w:r>
        <w:rPr>
          <w:rFonts w:hint="eastAsia" w:cs="仿宋"/>
          <w:color w:val="auto"/>
          <w:sz w:val="24"/>
          <w:szCs w:val="22"/>
          <w:highlight w:val="none"/>
          <w:lang w:val="en-US" w:eastAsia="zh-CN" w:bidi="ar-SA"/>
        </w:rPr>
        <w:t>服务期</w:t>
      </w:r>
      <w:r>
        <w:rPr>
          <w:rFonts w:hint="eastAsia" w:ascii="Times New Roman" w:hAnsi="Times New Roman" w:eastAsia="宋体" w:cs="仿宋"/>
          <w:color w:val="auto"/>
          <w:sz w:val="24"/>
          <w:szCs w:val="22"/>
          <w:highlight w:val="none"/>
          <w:lang w:val="en-US" w:eastAsia="zh-CN" w:bidi="ar-SA"/>
        </w:rPr>
        <w:t>：运维服务期1年。</w:t>
      </w:r>
    </w:p>
    <w:p w14:paraId="383A6A0B">
      <w:pPr>
        <w:pStyle w:val="12"/>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01831FBA">
      <w:pPr>
        <w:pStyle w:val="12"/>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服务内容：为打好污染防治攻坚战，实时掌握河流环境质量，推进我县水环境质量改善计划，根据县领导批示要求，拟对沭阳县柴米河、古泊善后河、沂南河沿线新建9座水质自动监测站（7个标准站、2个微型站）进行运维。 </w:t>
      </w:r>
    </w:p>
    <w:p w14:paraId="54893054">
      <w:pPr>
        <w:pStyle w:val="13"/>
        <w:keepNext w:val="0"/>
        <w:keepLines w:val="0"/>
        <w:pageBreakBefore w:val="0"/>
        <w:widowControl w:val="0"/>
        <w:kinsoku/>
        <w:wordWrap/>
        <w:overflowPunct/>
        <w:topLinePunct w:val="0"/>
        <w:autoSpaceDE/>
        <w:autoSpaceDN/>
        <w:bidi w:val="0"/>
        <w:adjustRightInd/>
        <w:snapToGrid/>
        <w:spacing w:after="200" w:line="480" w:lineRule="exact"/>
        <w:ind w:firstLine="482" w:firstLineChars="200"/>
        <w:jc w:val="both"/>
        <w:textAlignment w:val="auto"/>
        <w:rPr>
          <w:rFonts w:hint="eastAsia" w:ascii="Times New Roman" w:hAnsi="Times New Roman" w:eastAsia="宋体" w:cs="仿宋"/>
          <w:b w:val="0"/>
          <w:color w:val="auto"/>
          <w:sz w:val="24"/>
          <w:szCs w:val="22"/>
          <w:highlight w:val="none"/>
          <w:lang w:val="en-US" w:eastAsia="zh-CN" w:bidi="ar-SA"/>
        </w:rPr>
      </w:pPr>
      <w:r>
        <w:rPr>
          <w:rFonts w:hint="eastAsia" w:cs="仿宋"/>
          <w:color w:val="auto"/>
          <w:sz w:val="24"/>
          <w:szCs w:val="22"/>
          <w:highlight w:val="none"/>
          <w:lang w:val="en-US" w:eastAsia="zh-CN" w:bidi="ar-SA"/>
        </w:rPr>
        <w:t>5</w:t>
      </w:r>
      <w:r>
        <w:rPr>
          <w:rFonts w:hint="eastAsia" w:ascii="Times New Roman" w:hAnsi="Times New Roman" w:eastAsia="宋体" w:cs="仿宋"/>
          <w:color w:val="auto"/>
          <w:sz w:val="24"/>
          <w:szCs w:val="22"/>
          <w:highlight w:val="none"/>
          <w:lang w:val="en-US" w:eastAsia="zh-CN" w:bidi="ar-SA"/>
        </w:rPr>
        <w:t>.付款：</w:t>
      </w:r>
      <w:r>
        <w:rPr>
          <w:rFonts w:hint="eastAsia" w:ascii="Calibri" w:hAnsi="Calibri" w:eastAsia="宋体" w:cs="Times New Roman"/>
          <w:b w:val="0"/>
          <w:kern w:val="2"/>
          <w:sz w:val="24"/>
          <w:szCs w:val="22"/>
          <w:lang w:val="en-US" w:eastAsia="zh-CN" w:bidi="ar-SA"/>
        </w:rPr>
        <w:t>合同签订且在收到供应商发票后15日内，支付合同价款总额的10%作为预付款；余款待运维服务期满并经招标人确认合格后一次性付清。（合同款支付方式可</w:t>
      </w:r>
      <w:r>
        <w:rPr>
          <w:rFonts w:hint="eastAsia" w:ascii="Times New Roman" w:hAnsi="Times New Roman" w:eastAsia="宋体" w:cs="仿宋"/>
          <w:b w:val="0"/>
          <w:color w:val="auto"/>
          <w:sz w:val="24"/>
          <w:szCs w:val="22"/>
          <w:highlight w:val="none"/>
          <w:lang w:val="en-US" w:eastAsia="zh-CN" w:bidi="ar-SA"/>
        </w:rPr>
        <w:t xml:space="preserve">采用数字人民币支付）。   </w:t>
      </w:r>
    </w:p>
    <w:p w14:paraId="47622BA1">
      <w:pPr>
        <w:widowControl w:val="0"/>
        <w:spacing w:line="480" w:lineRule="exact"/>
        <w:ind w:firstLine="482"/>
        <w:jc w:val="both"/>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注：在签订合同时，供应商明确表示无需预付款或者主动要求降低预付款比例的，采购人可不适用预付规定。</w:t>
      </w:r>
    </w:p>
    <w:p w14:paraId="785DE3CA">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（二）服务清单</w:t>
      </w:r>
    </w:p>
    <w:tbl>
      <w:tblPr>
        <w:tblStyle w:val="10"/>
        <w:tblW w:w="93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42"/>
        <w:gridCol w:w="5894"/>
        <w:gridCol w:w="926"/>
      </w:tblGrid>
      <w:tr w14:paraId="4D0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noWrap w:val="0"/>
            <w:vAlign w:val="center"/>
          </w:tcPr>
          <w:p w14:paraId="4D00E152">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序号</w:t>
            </w:r>
          </w:p>
        </w:tc>
        <w:tc>
          <w:tcPr>
            <w:tcW w:w="1842" w:type="dxa"/>
            <w:noWrap w:val="0"/>
            <w:vAlign w:val="center"/>
          </w:tcPr>
          <w:p w14:paraId="0EA329E7">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站点名称</w:t>
            </w:r>
          </w:p>
        </w:tc>
        <w:tc>
          <w:tcPr>
            <w:tcW w:w="5894" w:type="dxa"/>
            <w:noWrap w:val="0"/>
            <w:vAlign w:val="center"/>
          </w:tcPr>
          <w:p w14:paraId="5FFA7FB0">
            <w:pPr>
              <w:widowControl w:val="0"/>
              <w:ind w:firstLine="48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参数</w:t>
            </w:r>
          </w:p>
        </w:tc>
        <w:tc>
          <w:tcPr>
            <w:tcW w:w="926" w:type="dxa"/>
            <w:noWrap w:val="0"/>
            <w:vAlign w:val="center"/>
          </w:tcPr>
          <w:p w14:paraId="56602006">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数量</w:t>
            </w:r>
          </w:p>
        </w:tc>
      </w:tr>
      <w:tr w14:paraId="504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10" w:type="dxa"/>
            <w:noWrap w:val="0"/>
            <w:vAlign w:val="center"/>
          </w:tcPr>
          <w:p w14:paraId="6F465310">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p>
        </w:tc>
        <w:tc>
          <w:tcPr>
            <w:tcW w:w="1842" w:type="dxa"/>
            <w:noWrap w:val="0"/>
            <w:vAlign w:val="center"/>
          </w:tcPr>
          <w:p w14:paraId="4F40C3D6">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kern w:val="2"/>
                <w:sz w:val="21"/>
                <w:szCs w:val="22"/>
                <w:lang w:val="en-US" w:eastAsia="zh-CN" w:bidi="ar-SA"/>
              </w:rPr>
              <w:t>十字入章集</w:t>
            </w:r>
          </w:p>
        </w:tc>
        <w:tc>
          <w:tcPr>
            <w:tcW w:w="5894" w:type="dxa"/>
            <w:noWrap w:val="0"/>
            <w:vAlign w:val="center"/>
          </w:tcPr>
          <w:p w14:paraId="68E1502E">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center"/>
          </w:tcPr>
          <w:p w14:paraId="70A52CAE">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6452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3C9704C0">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w:t>
            </w:r>
          </w:p>
        </w:tc>
        <w:tc>
          <w:tcPr>
            <w:tcW w:w="1842" w:type="dxa"/>
            <w:noWrap w:val="0"/>
            <w:vAlign w:val="center"/>
          </w:tcPr>
          <w:p w14:paraId="2C43DE50">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章集入李恒</w:t>
            </w:r>
          </w:p>
        </w:tc>
        <w:tc>
          <w:tcPr>
            <w:tcW w:w="5894" w:type="dxa"/>
            <w:noWrap w:val="0"/>
            <w:vAlign w:val="center"/>
          </w:tcPr>
          <w:p w14:paraId="2B006065">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center"/>
          </w:tcPr>
          <w:p w14:paraId="3BFD0837">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656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1B84D2D5">
            <w:pPr>
              <w:widowControl w:val="0"/>
              <w:jc w:val="center"/>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3</w:t>
            </w:r>
          </w:p>
        </w:tc>
        <w:tc>
          <w:tcPr>
            <w:tcW w:w="1842" w:type="dxa"/>
            <w:noWrap w:val="0"/>
            <w:vAlign w:val="center"/>
          </w:tcPr>
          <w:p w14:paraId="0797C0E6">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大涧河地涵东侧</w:t>
            </w:r>
          </w:p>
        </w:tc>
        <w:tc>
          <w:tcPr>
            <w:tcW w:w="5894" w:type="dxa"/>
            <w:noWrap w:val="0"/>
            <w:vAlign w:val="center"/>
          </w:tcPr>
          <w:p w14:paraId="43677B3F">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五参数、总磷、总氮、氨氮、高锰酸盐、挥发酚、流量计</w:t>
            </w:r>
          </w:p>
        </w:tc>
        <w:tc>
          <w:tcPr>
            <w:tcW w:w="926" w:type="dxa"/>
            <w:noWrap w:val="0"/>
            <w:vAlign w:val="top"/>
          </w:tcPr>
          <w:p w14:paraId="607B2F52">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0DF0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05DDFFEF">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w:t>
            </w:r>
          </w:p>
        </w:tc>
        <w:tc>
          <w:tcPr>
            <w:tcW w:w="1842" w:type="dxa"/>
            <w:noWrap w:val="0"/>
            <w:vAlign w:val="center"/>
          </w:tcPr>
          <w:p w14:paraId="7523223E">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贤官入华冲</w:t>
            </w:r>
          </w:p>
        </w:tc>
        <w:tc>
          <w:tcPr>
            <w:tcW w:w="5894" w:type="dxa"/>
            <w:noWrap w:val="0"/>
            <w:vAlign w:val="center"/>
          </w:tcPr>
          <w:p w14:paraId="6E248779">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top"/>
          </w:tcPr>
          <w:p w14:paraId="7E306F61">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10DA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10" w:type="dxa"/>
            <w:noWrap w:val="0"/>
            <w:vAlign w:val="center"/>
          </w:tcPr>
          <w:p w14:paraId="57E40E3A">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w:t>
            </w:r>
          </w:p>
        </w:tc>
        <w:tc>
          <w:tcPr>
            <w:tcW w:w="1842" w:type="dxa"/>
            <w:noWrap w:val="0"/>
            <w:vAlign w:val="center"/>
          </w:tcPr>
          <w:p w14:paraId="6AC99F9E">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华冲入高墟</w:t>
            </w:r>
          </w:p>
        </w:tc>
        <w:tc>
          <w:tcPr>
            <w:tcW w:w="5894" w:type="dxa"/>
            <w:noWrap w:val="0"/>
            <w:vAlign w:val="center"/>
          </w:tcPr>
          <w:p w14:paraId="79EF8BCA">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top"/>
          </w:tcPr>
          <w:p w14:paraId="1B180061">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4B01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14:paraId="7CA92729">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w:t>
            </w:r>
          </w:p>
        </w:tc>
        <w:tc>
          <w:tcPr>
            <w:tcW w:w="1842" w:type="dxa"/>
            <w:noWrap w:val="0"/>
            <w:vAlign w:val="center"/>
          </w:tcPr>
          <w:p w14:paraId="4F11BE51">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经开区上游</w:t>
            </w:r>
          </w:p>
        </w:tc>
        <w:tc>
          <w:tcPr>
            <w:tcW w:w="5894" w:type="dxa"/>
            <w:noWrap w:val="0"/>
            <w:vAlign w:val="top"/>
          </w:tcPr>
          <w:p w14:paraId="2EE593DC">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top"/>
          </w:tcPr>
          <w:p w14:paraId="76A8372F">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6F7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248989B5">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w:t>
            </w:r>
          </w:p>
        </w:tc>
        <w:tc>
          <w:tcPr>
            <w:tcW w:w="1842" w:type="dxa"/>
            <w:noWrap w:val="0"/>
            <w:vAlign w:val="center"/>
          </w:tcPr>
          <w:p w14:paraId="41E21E6D">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经开区下游</w:t>
            </w:r>
          </w:p>
        </w:tc>
        <w:tc>
          <w:tcPr>
            <w:tcW w:w="5894" w:type="dxa"/>
            <w:noWrap w:val="0"/>
            <w:vAlign w:val="top"/>
          </w:tcPr>
          <w:p w14:paraId="1E565FBC">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iCs/>
                <w:kern w:val="2"/>
                <w:sz w:val="21"/>
                <w:szCs w:val="22"/>
                <w:lang w:val="en-US" w:eastAsia="zh-CN" w:bidi="ar-SA"/>
              </w:rPr>
              <w:t>五参数、总磷、总氮、氨氮、高锰酸盐、流量计</w:t>
            </w:r>
          </w:p>
        </w:tc>
        <w:tc>
          <w:tcPr>
            <w:tcW w:w="926" w:type="dxa"/>
            <w:noWrap w:val="0"/>
            <w:vAlign w:val="top"/>
          </w:tcPr>
          <w:p w14:paraId="3F9FBB93">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27FF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7ED95F5A">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w:t>
            </w:r>
          </w:p>
        </w:tc>
        <w:tc>
          <w:tcPr>
            <w:tcW w:w="1842" w:type="dxa"/>
            <w:noWrap w:val="0"/>
            <w:vAlign w:val="center"/>
          </w:tcPr>
          <w:p w14:paraId="0973C78A">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纲要河</w:t>
            </w:r>
          </w:p>
        </w:tc>
        <w:tc>
          <w:tcPr>
            <w:tcW w:w="5894" w:type="dxa"/>
            <w:noWrap w:val="0"/>
            <w:vAlign w:val="center"/>
          </w:tcPr>
          <w:p w14:paraId="0318D9D2">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总磷</w:t>
            </w:r>
          </w:p>
        </w:tc>
        <w:tc>
          <w:tcPr>
            <w:tcW w:w="926" w:type="dxa"/>
            <w:noWrap w:val="0"/>
            <w:vAlign w:val="top"/>
          </w:tcPr>
          <w:p w14:paraId="34C111AE">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49EA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4DFB6B06">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w:t>
            </w:r>
          </w:p>
        </w:tc>
        <w:tc>
          <w:tcPr>
            <w:tcW w:w="1842" w:type="dxa"/>
            <w:noWrap w:val="0"/>
            <w:vAlign w:val="center"/>
          </w:tcPr>
          <w:p w14:paraId="02F47885">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新滂沟河</w:t>
            </w:r>
          </w:p>
        </w:tc>
        <w:tc>
          <w:tcPr>
            <w:tcW w:w="5894" w:type="dxa"/>
            <w:noWrap w:val="0"/>
            <w:vAlign w:val="center"/>
          </w:tcPr>
          <w:p w14:paraId="1BBB3DD9">
            <w:pPr>
              <w:widowControl w:val="0"/>
              <w:jc w:val="center"/>
              <w:rPr>
                <w:rFonts w:ascii="Calibri" w:hAnsi="Calibri" w:eastAsia="宋体" w:cs="Times New Roman"/>
                <w:iCs/>
                <w:kern w:val="2"/>
                <w:sz w:val="21"/>
                <w:szCs w:val="22"/>
                <w:lang w:val="en-US" w:eastAsia="zh-CN" w:bidi="ar-SA"/>
              </w:rPr>
            </w:pPr>
            <w:r>
              <w:rPr>
                <w:rFonts w:hint="eastAsia" w:ascii="Calibri" w:hAnsi="Calibri" w:eastAsia="宋体" w:cs="Times New Roman"/>
                <w:iCs/>
                <w:kern w:val="2"/>
                <w:sz w:val="21"/>
                <w:szCs w:val="22"/>
                <w:lang w:val="en-US" w:eastAsia="zh-CN" w:bidi="ar-SA"/>
              </w:rPr>
              <w:t>总磷</w:t>
            </w:r>
          </w:p>
        </w:tc>
        <w:tc>
          <w:tcPr>
            <w:tcW w:w="926" w:type="dxa"/>
            <w:noWrap w:val="0"/>
            <w:vAlign w:val="top"/>
          </w:tcPr>
          <w:p w14:paraId="3EE5716A">
            <w:pPr>
              <w:widowControl w:val="0"/>
              <w:jc w:val="center"/>
              <w:rPr>
                <w:rStyle w:val="15"/>
                <w:rFonts w:ascii="Calibri" w:hAnsi="Calibri" w:eastAsia="宋体" w:cs="Times New Roman"/>
                <w:kern w:val="2"/>
                <w:sz w:val="21"/>
                <w:szCs w:val="22"/>
                <w:lang w:val="en-US" w:eastAsia="zh-CN" w:bidi="ar-SA"/>
              </w:rPr>
            </w:pPr>
            <w:r>
              <w:rPr>
                <w:rStyle w:val="15"/>
                <w:rFonts w:cs="Times New Roman"/>
                <w:kern w:val="2"/>
                <w:szCs w:val="22"/>
                <w:lang w:val="en-US" w:eastAsia="zh-CN" w:bidi="ar-SA"/>
              </w:rPr>
              <w:t>1</w:t>
            </w:r>
            <w:r>
              <w:rPr>
                <w:rStyle w:val="15"/>
                <w:rFonts w:hint="eastAsia" w:cs="Times New Roman"/>
                <w:kern w:val="2"/>
                <w:szCs w:val="22"/>
                <w:lang w:val="en-US" w:eastAsia="zh-CN" w:bidi="ar-SA"/>
              </w:rPr>
              <w:t>年</w:t>
            </w:r>
          </w:p>
        </w:tc>
      </w:tr>
      <w:tr w14:paraId="542E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5B08D930">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w:t>
            </w:r>
          </w:p>
        </w:tc>
        <w:tc>
          <w:tcPr>
            <w:tcW w:w="1842" w:type="dxa"/>
            <w:noWrap w:val="0"/>
            <w:vAlign w:val="center"/>
          </w:tcPr>
          <w:p w14:paraId="071BF0D9">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配件、耗材</w:t>
            </w:r>
          </w:p>
        </w:tc>
        <w:tc>
          <w:tcPr>
            <w:tcW w:w="5894" w:type="dxa"/>
            <w:noWrap w:val="0"/>
            <w:vAlign w:val="center"/>
          </w:tcPr>
          <w:p w14:paraId="19527BB5">
            <w:pPr>
              <w:widowControl w:val="0"/>
              <w:jc w:val="center"/>
              <w:rPr>
                <w:rStyle w:val="15"/>
                <w:rFonts w:ascii="Calibri" w:hAnsi="Calibri" w:eastAsia="宋体" w:cs="Times New Roman"/>
                <w:kern w:val="2"/>
                <w:sz w:val="21"/>
                <w:szCs w:val="22"/>
                <w:lang w:val="en-US" w:eastAsia="zh-CN" w:bidi="ar-SA"/>
              </w:rPr>
            </w:pPr>
          </w:p>
        </w:tc>
        <w:tc>
          <w:tcPr>
            <w:tcW w:w="926" w:type="dxa"/>
            <w:noWrap w:val="0"/>
            <w:vAlign w:val="center"/>
          </w:tcPr>
          <w:p w14:paraId="5D9E874C">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1项</w:t>
            </w:r>
          </w:p>
        </w:tc>
      </w:tr>
      <w:tr w14:paraId="1323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5005BD2C">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w:t>
            </w:r>
          </w:p>
        </w:tc>
        <w:tc>
          <w:tcPr>
            <w:tcW w:w="1842" w:type="dxa"/>
            <w:noWrap w:val="0"/>
            <w:vAlign w:val="center"/>
          </w:tcPr>
          <w:p w14:paraId="19D0647B">
            <w:pPr>
              <w:widowControl w:val="0"/>
              <w:jc w:val="center"/>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废液处置</w:t>
            </w:r>
          </w:p>
        </w:tc>
        <w:tc>
          <w:tcPr>
            <w:tcW w:w="5894" w:type="dxa"/>
            <w:noWrap w:val="0"/>
            <w:vAlign w:val="center"/>
          </w:tcPr>
          <w:p w14:paraId="34AA527D">
            <w:pPr>
              <w:widowControl w:val="0"/>
              <w:jc w:val="center"/>
              <w:rPr>
                <w:rStyle w:val="15"/>
                <w:rFonts w:ascii="Calibri" w:hAnsi="Calibri" w:eastAsia="宋体" w:cs="Times New Roman"/>
                <w:kern w:val="2"/>
                <w:sz w:val="21"/>
                <w:szCs w:val="22"/>
                <w:lang w:val="en-US" w:eastAsia="zh-CN" w:bidi="ar-SA"/>
              </w:rPr>
            </w:pPr>
          </w:p>
        </w:tc>
        <w:tc>
          <w:tcPr>
            <w:tcW w:w="926" w:type="dxa"/>
            <w:noWrap w:val="0"/>
            <w:vAlign w:val="center"/>
          </w:tcPr>
          <w:p w14:paraId="65DA385D">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1项</w:t>
            </w:r>
          </w:p>
        </w:tc>
      </w:tr>
      <w:tr w14:paraId="090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61362694">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w:t>
            </w:r>
          </w:p>
        </w:tc>
        <w:tc>
          <w:tcPr>
            <w:tcW w:w="1842" w:type="dxa"/>
            <w:noWrap w:val="0"/>
            <w:vAlign w:val="center"/>
          </w:tcPr>
          <w:p w14:paraId="568A16D7">
            <w:pPr>
              <w:widowControl w:val="0"/>
              <w:jc w:val="center"/>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站点</w:t>
            </w:r>
            <w:r>
              <w:rPr>
                <w:rFonts w:ascii="Calibri" w:hAnsi="Calibri" w:eastAsia="宋体" w:cs="Times New Roman"/>
                <w:kern w:val="2"/>
                <w:sz w:val="21"/>
                <w:szCs w:val="22"/>
                <w:lang w:val="en-US" w:eastAsia="zh-CN" w:bidi="ar-SA"/>
              </w:rPr>
              <w:t>管理软件</w:t>
            </w:r>
            <w:r>
              <w:rPr>
                <w:rFonts w:hint="eastAsia" w:ascii="Calibri" w:hAnsi="Calibri" w:eastAsia="宋体" w:cs="Times New Roman"/>
                <w:kern w:val="2"/>
                <w:sz w:val="21"/>
                <w:szCs w:val="22"/>
                <w:lang w:val="en-US" w:eastAsia="zh-CN" w:bidi="ar-SA"/>
              </w:rPr>
              <w:t>更新</w:t>
            </w:r>
          </w:p>
        </w:tc>
        <w:tc>
          <w:tcPr>
            <w:tcW w:w="5894" w:type="dxa"/>
            <w:noWrap w:val="0"/>
            <w:vAlign w:val="center"/>
          </w:tcPr>
          <w:p w14:paraId="21BB640C">
            <w:pPr>
              <w:widowControl w:val="0"/>
              <w:jc w:val="center"/>
              <w:rPr>
                <w:rStyle w:val="15"/>
                <w:rFonts w:ascii="Calibri" w:hAnsi="Calibri" w:eastAsia="宋体" w:cs="Times New Roman"/>
                <w:kern w:val="2"/>
                <w:sz w:val="21"/>
                <w:szCs w:val="22"/>
                <w:lang w:val="en-US" w:eastAsia="zh-CN" w:bidi="ar-SA"/>
              </w:rPr>
            </w:pPr>
          </w:p>
        </w:tc>
        <w:tc>
          <w:tcPr>
            <w:tcW w:w="926" w:type="dxa"/>
            <w:noWrap w:val="0"/>
            <w:vAlign w:val="center"/>
          </w:tcPr>
          <w:p w14:paraId="1E439151">
            <w:pPr>
              <w:widowControl w:val="0"/>
              <w:jc w:val="center"/>
              <w:rPr>
                <w:rStyle w:val="15"/>
                <w:rFonts w:ascii="Calibri" w:hAnsi="Calibri" w:eastAsia="宋体" w:cs="Times New Roman"/>
                <w:kern w:val="2"/>
                <w:sz w:val="21"/>
                <w:szCs w:val="22"/>
                <w:lang w:val="en-US" w:eastAsia="zh-CN" w:bidi="ar-SA"/>
              </w:rPr>
            </w:pPr>
            <w:r>
              <w:rPr>
                <w:rStyle w:val="15"/>
                <w:rFonts w:hint="eastAsia" w:cs="Times New Roman"/>
                <w:kern w:val="2"/>
                <w:szCs w:val="22"/>
                <w:lang w:val="en-US" w:eastAsia="zh-CN" w:bidi="ar-SA"/>
              </w:rPr>
              <w:t>1套</w:t>
            </w:r>
          </w:p>
        </w:tc>
      </w:tr>
    </w:tbl>
    <w:p w14:paraId="42663AC4">
      <w:pPr>
        <w:widowControl w:val="0"/>
        <w:spacing w:line="480" w:lineRule="exact"/>
        <w:jc w:val="both"/>
        <w:rPr>
          <w:rFonts w:hint="default" w:ascii="Calibri" w:hAnsi="Calibri" w:eastAsia="宋体" w:cs="Times New Roman"/>
          <w:kern w:val="2"/>
          <w:sz w:val="24"/>
          <w:szCs w:val="22"/>
          <w:lang w:val="en-US" w:eastAsia="zh-CN" w:bidi="ar-SA"/>
        </w:rPr>
      </w:pPr>
    </w:p>
    <w:p w14:paraId="456F503E">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（三）</w:t>
      </w:r>
      <w:r>
        <w:rPr>
          <w:rFonts w:hint="eastAsia" w:ascii="Times New Roman" w:hAnsi="Times New Roman" w:cs="仿宋"/>
          <w:b/>
          <w:bCs/>
          <w:color w:val="auto"/>
          <w:sz w:val="24"/>
          <w:szCs w:val="22"/>
          <w:highlight w:val="none"/>
          <w:lang w:val="en-US" w:eastAsia="zh-CN" w:bidi="ar-SA"/>
        </w:rPr>
        <w:t>项目技术</w:t>
      </w:r>
      <w:r>
        <w:rPr>
          <w:rFonts w:hint="eastAsia" w:ascii="Times New Roman" w:hAnsi="Times New Roman" w:eastAsia="宋体" w:cs="仿宋"/>
          <w:b/>
          <w:bCs/>
          <w:color w:val="auto"/>
          <w:sz w:val="24"/>
          <w:szCs w:val="22"/>
          <w:highlight w:val="none"/>
          <w:lang w:val="en-US" w:eastAsia="zh-CN" w:bidi="ar-SA"/>
        </w:rPr>
        <w:t>要求</w:t>
      </w:r>
    </w:p>
    <w:p w14:paraId="23A8E055">
      <w:pPr>
        <w:pStyle w:val="16"/>
        <w:widowControl/>
        <w:spacing w:line="360" w:lineRule="auto"/>
        <w:ind w:firstLine="482"/>
        <w:jc w:val="left"/>
        <w:rPr>
          <w:rFonts w:eastAsia="宋体"/>
          <w:kern w:val="2"/>
        </w:rPr>
      </w:pPr>
      <w:r>
        <w:rPr>
          <w:rFonts w:eastAsia="宋体"/>
          <w:b/>
          <w:bCs/>
          <w:kern w:val="2"/>
          <w:sz w:val="24"/>
          <w:szCs w:val="24"/>
        </w:rPr>
        <w:t>1、整体要求：</w:t>
      </w:r>
      <w:r>
        <w:rPr>
          <w:rFonts w:eastAsia="宋体"/>
          <w:kern w:val="2"/>
        </w:rPr>
        <w:t xml:space="preserve"> </w:t>
      </w:r>
    </w:p>
    <w:p w14:paraId="317967EF">
      <w:pPr>
        <w:pStyle w:val="21"/>
        <w:tabs>
          <w:tab w:val="left" w:pos="1654"/>
        </w:tabs>
        <w:kinsoku w:val="0"/>
        <w:overflowPunct w:val="0"/>
        <w:spacing w:line="360" w:lineRule="auto"/>
        <w:ind w:firstLine="210" w:firstLineChars="100"/>
      </w:pPr>
      <w:r>
        <w:rPr>
          <w:rFonts w:hint="eastAsia"/>
        </w:rPr>
        <w:t>（</w:t>
      </w:r>
      <w:r>
        <w:t xml:space="preserve">1）运维单位必须按照《江苏省地表水自动监测站运行管理办法（试行）》（苏环办〔2020〕174 号）进行维护。 </w:t>
      </w:r>
    </w:p>
    <w:p w14:paraId="0F9FE429">
      <w:pPr>
        <w:pStyle w:val="21"/>
        <w:tabs>
          <w:tab w:val="left" w:pos="1654"/>
        </w:tabs>
        <w:kinsoku w:val="0"/>
        <w:overflowPunct w:val="0"/>
        <w:spacing w:line="360" w:lineRule="auto"/>
        <w:ind w:firstLine="210" w:firstLineChars="100"/>
      </w:pPr>
      <w:r>
        <w:rPr>
          <w:rFonts w:hint="eastAsia"/>
        </w:rPr>
        <w:t>（</w:t>
      </w:r>
      <w:r>
        <w:t xml:space="preserve">2）投标人提供完整的水质自动监测站运行维护实施方案和运维应急预案，明确维护方法、周期、内容及技术保障等。 </w:t>
      </w:r>
    </w:p>
    <w:p w14:paraId="37ED1684">
      <w:pPr>
        <w:pStyle w:val="21"/>
        <w:tabs>
          <w:tab w:val="left" w:pos="1654"/>
        </w:tabs>
        <w:kinsoku w:val="0"/>
        <w:overflowPunct w:val="0"/>
        <w:spacing w:line="360" w:lineRule="auto"/>
        <w:ind w:firstLine="210" w:firstLineChars="100"/>
      </w:pPr>
      <w:r>
        <w:rPr>
          <w:rFonts w:hint="eastAsia"/>
        </w:rPr>
        <w:t>（</w:t>
      </w:r>
      <w:r>
        <w:t>3）在水质自动监测站运行维护期间，中标人应严格按照采购人提出的操作规范，对所管理的系统及仪器设备进行规范操作和精心维护及必要维修，保证系统及仪器设备的正常运行，达到采购人提出的系统及仪器设备考核指标要求。</w:t>
      </w:r>
    </w:p>
    <w:p w14:paraId="40A4EAC3">
      <w:pPr>
        <w:pStyle w:val="21"/>
        <w:tabs>
          <w:tab w:val="left" w:pos="1654"/>
        </w:tabs>
        <w:kinsoku w:val="0"/>
        <w:overflowPunct w:val="0"/>
        <w:spacing w:line="360" w:lineRule="auto"/>
        <w:ind w:firstLine="210" w:firstLineChars="100"/>
      </w:pPr>
      <w:r>
        <w:rPr>
          <w:rFonts w:hint="eastAsia"/>
        </w:rPr>
        <w:t>（</w:t>
      </w:r>
      <w:r>
        <w:t>4）</w:t>
      </w:r>
      <w:r>
        <w:rPr>
          <w:rFonts w:hint="eastAsia"/>
        </w:rPr>
        <w:t>不论何时，中标人都应承担监测数据的保密责任；中标人按照采购人的要求，进行报告和传输有关的监测数据，均不得以任何方式和渠道向外界传递任何监测数据。</w:t>
      </w:r>
    </w:p>
    <w:p w14:paraId="03610686">
      <w:pPr>
        <w:pStyle w:val="21"/>
        <w:tabs>
          <w:tab w:val="left" w:pos="1654"/>
        </w:tabs>
        <w:kinsoku w:val="0"/>
        <w:overflowPunct w:val="0"/>
        <w:spacing w:line="360" w:lineRule="auto"/>
        <w:ind w:firstLine="210" w:firstLineChars="100"/>
      </w:pPr>
      <w:r>
        <w:rPr>
          <w:rFonts w:hint="eastAsia"/>
        </w:rPr>
        <w:t xml:space="preserve">（5）不论何时，中标人无权将采购人的任何资产进行对外投资、合作、经济担保及资产抵押。 </w:t>
      </w:r>
    </w:p>
    <w:p w14:paraId="22A77F94">
      <w:pPr>
        <w:pStyle w:val="21"/>
        <w:tabs>
          <w:tab w:val="left" w:pos="1654"/>
        </w:tabs>
        <w:kinsoku w:val="0"/>
        <w:overflowPunct w:val="0"/>
        <w:spacing w:line="360" w:lineRule="auto"/>
        <w:ind w:firstLine="241" w:firstLineChars="100"/>
        <w:rPr>
          <w:sz w:val="24"/>
          <w:szCs w:val="24"/>
        </w:rPr>
      </w:pPr>
      <w:r>
        <w:rPr>
          <w:rFonts w:hint="eastAsia"/>
          <w:b/>
          <w:bCs/>
          <w:sz w:val="24"/>
          <w:szCs w:val="24"/>
        </w:rPr>
        <w:t>2、水质自动监测站运行维护要求：</w:t>
      </w:r>
      <w:r>
        <w:rPr>
          <w:rFonts w:hint="eastAsia"/>
          <w:sz w:val="24"/>
          <w:szCs w:val="24"/>
        </w:rPr>
        <w:t xml:space="preserve"> </w:t>
      </w:r>
    </w:p>
    <w:p w14:paraId="495177CD">
      <w:pPr>
        <w:keepNext/>
        <w:keepLines/>
        <w:widowControl w:val="0"/>
        <w:spacing w:before="0" w:after="0" w:line="413" w:lineRule="auto"/>
        <w:jc w:val="both"/>
        <w:outlineLvl w:val="2"/>
        <w:rPr>
          <w:rFonts w:hint="default" w:ascii="宋体" w:hAnsi="宋体" w:eastAsia="Arial" w:cs="宋体"/>
          <w:b w:val="0"/>
          <w:bCs w:val="0"/>
          <w:sz w:val="21"/>
          <w:szCs w:val="21"/>
          <w:u w:val="single"/>
          <w:lang w:val="en-US" w:eastAsia="zh-CN" w:bidi="ar-SA"/>
        </w:rPr>
      </w:pPr>
      <w:bookmarkStart w:id="2" w:name="_Toc9646"/>
      <w:r>
        <w:rPr>
          <w:rFonts w:hint="eastAsia" w:ascii="宋体" w:hAnsi="宋体" w:eastAsia="Arial" w:cs="宋体"/>
          <w:b w:val="0"/>
          <w:bCs w:val="0"/>
          <w:sz w:val="21"/>
          <w:szCs w:val="21"/>
          <w:u w:val="single"/>
          <w:lang w:val="en-US" w:eastAsia="zh-CN" w:bidi="ar-SA"/>
        </w:rPr>
        <w:t>2.1 水质自动监测站运维要求</w:t>
      </w:r>
      <w:bookmarkEnd w:id="2"/>
    </w:p>
    <w:p w14:paraId="65146DBE">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.1.1、每日上午/下午远程检查仪器运行状态, 检查数据传输系统是否正常。</w:t>
      </w:r>
    </w:p>
    <w:p w14:paraId="66FA1BB3">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.1.2、每周维护内容</w:t>
      </w:r>
    </w:p>
    <w:p w14:paraId="20C70CE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每周至少一次对监测系统进行现场维护，现场维护内容包括：</w:t>
      </w:r>
    </w:p>
    <w:p w14:paraId="316481D3">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1）检查各台自动分析仪及辅助设备的运行状态和主要技术参数，判断运行是否正常。</w:t>
      </w:r>
    </w:p>
    <w:p w14:paraId="3400A0B3">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2）检查自来水供应、泵取水情况，检查内部管路是否通畅，仪器自动清洗装置是否运行正常，检查各自动分析仪的进样水管和排水管是否清洁，必要时进行清洗。定期清洗水泵和过滤网。</w:t>
      </w:r>
    </w:p>
    <w:p w14:paraId="42DA9928">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3）检查各仪器标准溶液和试剂是否在有效使用期内，按相关要求定期更换标准溶液和分析试剂。</w:t>
      </w:r>
    </w:p>
    <w:p w14:paraId="46BDD968">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4）检查各仪器关键零件等是否正常，按相关要求维护或替换相关部件。</w:t>
      </w:r>
    </w:p>
    <w:p w14:paraId="1E770BD8">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.1.3、每月现场维护内容包括：</w:t>
      </w:r>
    </w:p>
    <w:p w14:paraId="1B7B4705">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1）高锰酸盐指数、氨氮等水质在线自动监测仪：检查内部试管是否污染，必要时进行清洗。</w:t>
      </w:r>
    </w:p>
    <w:p w14:paraId="7F145634">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2）对各分析仪进行准确度、重复性及标样核查等进行校验。</w:t>
      </w:r>
    </w:p>
    <w:p w14:paraId="6C6AC917">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每月的现场维护内容还包括对在线监测仪器进行一次保养，对水泵和取水管路、配水和进水系统、仪器分析系统进行维护。对数据存储／控制系统工作状态进行一次检查，对自动分析仪进行一次日常校验。检查监测仪器接地情况，检查监测用房防雷措施。每月进行一次现场校验，可自动校准或手工校准。</w:t>
      </w:r>
    </w:p>
    <w:p w14:paraId="0A01C11A">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4）每</w:t>
      </w:r>
      <w:r>
        <w:rPr>
          <w:rFonts w:hint="eastAsia" w:ascii="宋体" w:hAnsi="宋体" w:eastAsia="Arial" w:cs="宋体"/>
          <w:sz w:val="21"/>
          <w:szCs w:val="21"/>
          <w:lang w:val="en-US" w:eastAsia="zh-CN"/>
        </w:rPr>
        <w:t>半年</w:t>
      </w:r>
      <w:r>
        <w:rPr>
          <w:rFonts w:hint="eastAsia" w:ascii="宋体" w:hAnsi="宋体" w:eastAsia="Arial" w:cs="宋体"/>
          <w:sz w:val="21"/>
          <w:szCs w:val="21"/>
        </w:rPr>
        <w:t>进行一次实际水样比对试验和质控样试验,提供第三方数据检测报告。</w:t>
      </w:r>
    </w:p>
    <w:p w14:paraId="11C63B0F">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.1.4、每年进行一次全系统检查。</w:t>
      </w:r>
    </w:p>
    <w:p w14:paraId="537A9FE4">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.1.5、其他预防性维护</w:t>
      </w:r>
    </w:p>
    <w:p w14:paraId="28CB72C4">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保持站房的清洁，保持设备的清洁，避免仪器振动，保证站房内的温度、湿度满足仪器正常运行的需求。负责水站产生废液的处置。如遇重大检查活动，安排专业技术人员提前到场，并进行相关讲解工作。</w:t>
      </w:r>
    </w:p>
    <w:p w14:paraId="0F868CC0">
      <w:pPr>
        <w:keepNext/>
        <w:keepLines/>
        <w:widowControl w:val="0"/>
        <w:spacing w:before="260" w:after="260" w:line="416" w:lineRule="auto"/>
        <w:ind w:firstLine="480"/>
        <w:jc w:val="both"/>
        <w:outlineLvl w:val="2"/>
        <w:rPr>
          <w:rFonts w:hint="default" w:ascii="宋体" w:hAnsi="宋体" w:eastAsia="Arial" w:cs="宋体"/>
          <w:b w:val="0"/>
          <w:bCs w:val="0"/>
          <w:sz w:val="21"/>
          <w:szCs w:val="21"/>
          <w:u w:val="single"/>
          <w:lang w:val="en-US" w:eastAsia="zh-CN" w:bidi="ar-SA"/>
        </w:rPr>
      </w:pPr>
      <w:bookmarkStart w:id="3" w:name="_Toc20352"/>
      <w:r>
        <w:rPr>
          <w:rFonts w:hint="eastAsia" w:ascii="宋体" w:hAnsi="宋体" w:eastAsia="Arial" w:cs="宋体"/>
          <w:b w:val="0"/>
          <w:bCs w:val="0"/>
          <w:sz w:val="21"/>
          <w:szCs w:val="21"/>
          <w:u w:val="single"/>
          <w:lang w:val="en-US" w:eastAsia="zh-CN" w:bidi="ar-SA"/>
        </w:rPr>
        <w:t>2.2 监控系统平台运维要求</w:t>
      </w:r>
      <w:bookmarkEnd w:id="3"/>
    </w:p>
    <w:p w14:paraId="1B54D4C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1、运维的工作人员是经验丰富的技术工程师。</w:t>
      </w:r>
    </w:p>
    <w:p w14:paraId="3EEA0716">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2、发现软件平台bug问题，提供免费升级维护。</w:t>
      </w:r>
    </w:p>
    <w:p w14:paraId="6B5BBC9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3、保证在运维期内，做到故障时1小时内响应、12小时解决问题，或者提供问题解决方案和解决时间。</w:t>
      </w:r>
    </w:p>
    <w:p w14:paraId="417DB580">
      <w:pPr>
        <w:spacing w:line="360" w:lineRule="auto"/>
        <w:ind w:firstLine="480"/>
        <w:jc w:val="left"/>
        <w:rPr>
          <w:rFonts w:hint="default" w:ascii="宋体" w:hAnsi="宋体" w:eastAsia="Arial" w:cs="宋体"/>
          <w:sz w:val="21"/>
          <w:szCs w:val="21"/>
          <w:u w:val="single"/>
        </w:rPr>
      </w:pPr>
      <w:r>
        <w:rPr>
          <w:rFonts w:hint="eastAsia" w:ascii="宋体" w:hAnsi="宋体" w:eastAsia="Arial" w:cs="宋体"/>
          <w:sz w:val="21"/>
          <w:szCs w:val="21"/>
          <w:u w:val="single"/>
          <w:lang w:val="en-US" w:eastAsia="zh-CN"/>
        </w:rPr>
        <w:t>2.3</w:t>
      </w:r>
      <w:r>
        <w:rPr>
          <w:rFonts w:hint="eastAsia" w:ascii="宋体" w:hAnsi="宋体" w:eastAsia="Arial" w:cs="宋体"/>
          <w:sz w:val="21"/>
          <w:szCs w:val="21"/>
          <w:u w:val="single"/>
        </w:rPr>
        <w:t>服务内容</w:t>
      </w:r>
    </w:p>
    <w:p w14:paraId="7885F760">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本项目运维服务主要包括以下内容：</w:t>
      </w:r>
    </w:p>
    <w:p w14:paraId="110FF9D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（1）系统故障解决；</w:t>
      </w:r>
    </w:p>
    <w:p w14:paraId="7D05B126">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（2）系统参数的调整，即应用软件适应性服务；</w:t>
      </w:r>
    </w:p>
    <w:p w14:paraId="25CF604C">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（3）系统的扩充、版本升级和功能更新支持服务；</w:t>
      </w:r>
    </w:p>
    <w:p w14:paraId="4373FE6B">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（4）现场支持服务。</w:t>
      </w:r>
    </w:p>
    <w:p w14:paraId="6900A91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如果遇到无法远程解决的问题，中标单位在24小时内到达现场，使系统运行和使用恢复正常。</w:t>
      </w:r>
    </w:p>
    <w:p w14:paraId="38C960A0">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（5）系统设备维护和更换</w:t>
      </w:r>
    </w:p>
    <w:p w14:paraId="11468032">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在运维期内，对故障设备负责免费维修和更换。当采购人提出设备故障解决请求，经确认后，将把更换备件发至现场，帮助采购人更换、安装、恢复、测试备件设备。</w:t>
      </w:r>
    </w:p>
    <w:p w14:paraId="23D7A9FC">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（6）设备软件升级和补丁更新</w:t>
      </w:r>
    </w:p>
    <w:p w14:paraId="7A605FF4">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当发现产品或软件存在漏洞时，中标单位将即时通知采购人，并且根据问题的严重程度提供改进建议、软件升级或硬件更换等服务。当采购人提出设备软/硬件升级和补丁更新要求时，中标单位负责安排技术人员提供技术支持，免费提供同级别系统的软件版本升级，并负责安装到设备中；也可以由采购人通过直接下载软件到设备中，中标单位技术服务工程师提供软件下载的现场协助。</w:t>
      </w:r>
    </w:p>
    <w:p w14:paraId="12FB1CC2">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（7）硬件运维</w:t>
      </w:r>
    </w:p>
    <w:p w14:paraId="52794C9A">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当发现产品存在质量问题时，中标单位将及时与设备生产厂商进行沟通，并根据设备使用维护说明，由专业人员对设备进行维修调试或更换配件，如无法通过简单方式修复，则重新购置不低于该硬件配置的设备进行更换替代，用</w:t>
      </w:r>
      <w:r>
        <w:rPr>
          <w:rFonts w:hint="eastAsia" w:ascii="宋体" w:hAnsi="宋体" w:eastAsia="宋体" w:cs="宋体"/>
          <w:sz w:val="21"/>
          <w:szCs w:val="21"/>
          <w:lang w:val="en-US" w:eastAsia="zh-CN"/>
        </w:rPr>
        <w:t>5</w:t>
      </w:r>
      <w:r>
        <w:rPr>
          <w:rFonts w:hint="eastAsia" w:ascii="宋体" w:hAnsi="宋体" w:eastAsia="Arial" w:cs="宋体"/>
          <w:sz w:val="21"/>
          <w:szCs w:val="21"/>
        </w:rPr>
        <w:t>000元以内的设备、配件维修和更换所产生的费用由运维方承担；由运维方操作不当导致设备损坏，设备维修或或更换费用由运维方承担；非运维方责任的，费用</w:t>
      </w:r>
      <w:r>
        <w:rPr>
          <w:rFonts w:hint="eastAsia" w:ascii="宋体" w:hAnsi="宋体" w:eastAsia="宋体" w:cs="宋体"/>
          <w:sz w:val="21"/>
          <w:szCs w:val="21"/>
          <w:lang w:val="en-US" w:eastAsia="zh-CN"/>
        </w:rPr>
        <w:t>5</w:t>
      </w:r>
      <w:r>
        <w:rPr>
          <w:rFonts w:hint="eastAsia" w:ascii="宋体" w:hAnsi="宋体" w:eastAsia="Arial" w:cs="宋体"/>
          <w:sz w:val="21"/>
          <w:szCs w:val="21"/>
        </w:rPr>
        <w:t>000以上的设备、配件维修和更换所产生的费用由采购方承担。</w:t>
      </w:r>
    </w:p>
    <w:p w14:paraId="2B8CAC93">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（8）定期巡检服务</w:t>
      </w:r>
    </w:p>
    <w:p w14:paraId="64B0B4B5">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在运维期内，中标单位将安排服务人员定期进行系统巡检，对系统的运行情况、存在问题的现场检查，现场解决各类系统问题。巡检内容包括：进行数据库、应用服务器等设备运行状态检查、系统日志检查，向采购人了解应用日常运行情况，及时发现并解决系统运行中的问题，提供系统整体性能优化服务。</w:t>
      </w:r>
    </w:p>
    <w:p w14:paraId="348BB37C">
      <w:pPr>
        <w:keepNext/>
        <w:keepLines/>
        <w:widowControl w:val="0"/>
        <w:spacing w:before="260" w:after="260" w:line="416" w:lineRule="auto"/>
        <w:jc w:val="both"/>
        <w:outlineLvl w:val="2"/>
        <w:rPr>
          <w:rFonts w:hint="eastAsia" w:ascii="宋体" w:hAnsi="宋体" w:eastAsia="Arial" w:cs="宋体"/>
          <w:b/>
          <w:bCs/>
          <w:sz w:val="21"/>
          <w:szCs w:val="21"/>
          <w:lang w:val="en-US" w:eastAsia="zh-CN" w:bidi="ar-SA"/>
        </w:rPr>
      </w:pPr>
      <w:bookmarkStart w:id="4" w:name="_Toc11369"/>
      <w:r>
        <w:rPr>
          <w:rFonts w:hint="eastAsia" w:ascii="宋体" w:hAnsi="宋体" w:eastAsia="Arial" w:cs="宋体"/>
          <w:b w:val="0"/>
          <w:bCs w:val="0"/>
          <w:sz w:val="21"/>
          <w:szCs w:val="21"/>
          <w:u w:val="single"/>
          <w:lang w:val="en-US" w:eastAsia="zh-CN" w:bidi="ar-SA"/>
        </w:rPr>
        <w:t>2.4应急响应要求</w:t>
      </w:r>
      <w:bookmarkEnd w:id="4"/>
    </w:p>
    <w:p w14:paraId="7C7C1AB2">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出现监测数据异常、仪器故障或通讯故障，应在</w:t>
      </w:r>
      <w:r>
        <w:rPr>
          <w:rFonts w:hint="eastAsia" w:ascii="宋体" w:hAnsi="宋体" w:eastAsia="Arial" w:cs="宋体"/>
          <w:sz w:val="21"/>
          <w:szCs w:val="21"/>
          <w:lang w:val="en-US" w:eastAsia="zh-CN"/>
        </w:rPr>
        <w:t>4</w:t>
      </w:r>
      <w:r>
        <w:rPr>
          <w:rFonts w:hint="eastAsia" w:ascii="宋体" w:hAnsi="宋体" w:eastAsia="Arial" w:cs="宋体"/>
          <w:sz w:val="21"/>
          <w:szCs w:val="21"/>
        </w:rPr>
        <w:t>小时内到达现场处理故障并将信息反馈采购方；</w:t>
      </w:r>
      <w:r>
        <w:rPr>
          <w:rFonts w:hint="eastAsia" w:ascii="宋体" w:hAnsi="宋体" w:eastAsia="Arial" w:cs="宋体"/>
          <w:sz w:val="21"/>
          <w:szCs w:val="21"/>
          <w:lang w:val="en-US" w:eastAsia="zh-CN"/>
        </w:rPr>
        <w:t>对于在现场能够诊断明确且可通过更换备件解决的问题，应在现场解决故障；对于其他不易诊断和检修的故障，或</w:t>
      </w:r>
      <w:r>
        <w:rPr>
          <w:rFonts w:hint="default" w:ascii="宋体" w:hAnsi="宋体" w:eastAsia="Arial" w:cs="宋体"/>
          <w:sz w:val="21"/>
          <w:szCs w:val="21"/>
          <w:lang w:val="en-US" w:eastAsia="zh-CN"/>
        </w:rPr>
        <w:t>48 h</w:t>
      </w:r>
      <w:r>
        <w:rPr>
          <w:rFonts w:hint="eastAsia" w:ascii="宋体" w:hAnsi="宋体" w:eastAsia="Arial" w:cs="宋体"/>
          <w:sz w:val="21"/>
          <w:szCs w:val="21"/>
          <w:lang w:val="en-US" w:eastAsia="zh-CN"/>
        </w:rPr>
        <w:t>内无法排除的仪器故障，应采用备机替代发生故障的仪器</w:t>
      </w:r>
      <w:r>
        <w:rPr>
          <w:rFonts w:hint="eastAsia" w:ascii="宋体" w:hAnsi="宋体" w:eastAsia="宋体" w:cs="宋体"/>
          <w:sz w:val="21"/>
          <w:szCs w:val="21"/>
          <w:lang w:eastAsia="zh-CN"/>
        </w:rPr>
        <w:t>或者使用移动监测车开展监测</w:t>
      </w:r>
      <w:r>
        <w:rPr>
          <w:rFonts w:hint="eastAsia" w:ascii="宋体" w:hAnsi="宋体" w:eastAsia="Arial" w:cs="宋体"/>
          <w:sz w:val="21"/>
          <w:szCs w:val="21"/>
          <w:lang w:val="en-US" w:eastAsia="zh-CN"/>
        </w:rPr>
        <w:t>，同时对备机开展标样核查。</w:t>
      </w:r>
      <w:r>
        <w:rPr>
          <w:rFonts w:hint="eastAsia" w:ascii="宋体" w:hAnsi="宋体" w:eastAsia="Arial" w:cs="宋体"/>
          <w:sz w:val="21"/>
          <w:szCs w:val="21"/>
        </w:rPr>
        <w:t>故障设备应在一周内完成维修，并做好相应维修记录。如因自身技术能力不足无法修复仪器，应委托仪器生产厂商等第三方维修。除不可抗力（洪水，雷电，地震）以外，费用</w:t>
      </w:r>
      <w:r>
        <w:rPr>
          <w:rFonts w:hint="eastAsia" w:ascii="宋体" w:hAnsi="宋体" w:eastAsia="宋体" w:cs="宋体"/>
          <w:sz w:val="21"/>
          <w:szCs w:val="21"/>
          <w:lang w:val="en-US" w:eastAsia="zh-CN"/>
        </w:rPr>
        <w:t>5</w:t>
      </w:r>
      <w:r>
        <w:rPr>
          <w:rFonts w:hint="eastAsia" w:ascii="宋体" w:hAnsi="宋体" w:eastAsia="Arial" w:cs="宋体"/>
          <w:sz w:val="21"/>
          <w:szCs w:val="21"/>
        </w:rPr>
        <w:t>000元以内的设备、配件维修和更换所产生的费用由运维方承担；由运维方操作不当导致设备损坏，设备维修或或更换费用由运维方承担；非运维方责任的，费用</w:t>
      </w:r>
      <w:r>
        <w:rPr>
          <w:rFonts w:hint="eastAsia" w:ascii="宋体" w:hAnsi="宋体" w:eastAsia="宋体" w:cs="宋体"/>
          <w:sz w:val="21"/>
          <w:szCs w:val="21"/>
          <w:lang w:val="en-US" w:eastAsia="zh-CN"/>
        </w:rPr>
        <w:t>5</w:t>
      </w:r>
      <w:r>
        <w:rPr>
          <w:rFonts w:hint="eastAsia" w:ascii="宋体" w:hAnsi="宋体" w:eastAsia="Arial" w:cs="宋体"/>
          <w:sz w:val="21"/>
          <w:szCs w:val="21"/>
        </w:rPr>
        <w:t>000以上的设备、配件维修和更换所产生的费用由采购方承担。</w:t>
      </w:r>
    </w:p>
    <w:p w14:paraId="2ADF0534">
      <w:pPr>
        <w:keepNext/>
        <w:keepLines/>
        <w:widowControl w:val="0"/>
        <w:spacing w:before="260" w:after="260" w:line="416" w:lineRule="auto"/>
        <w:ind w:firstLine="480"/>
        <w:jc w:val="both"/>
        <w:outlineLvl w:val="2"/>
        <w:rPr>
          <w:rFonts w:hint="default" w:ascii="宋体" w:hAnsi="宋体" w:eastAsia="Arial" w:cs="宋体"/>
          <w:b w:val="0"/>
          <w:bCs w:val="0"/>
          <w:sz w:val="21"/>
          <w:szCs w:val="21"/>
          <w:u w:val="single"/>
          <w:lang w:val="en-US" w:eastAsia="zh-CN" w:bidi="ar-SA"/>
        </w:rPr>
      </w:pPr>
      <w:bookmarkStart w:id="5" w:name="_Toc16143"/>
      <w:r>
        <w:rPr>
          <w:rFonts w:hint="eastAsia" w:ascii="宋体" w:hAnsi="宋体" w:eastAsia="Arial" w:cs="宋体"/>
          <w:b w:val="0"/>
          <w:bCs w:val="0"/>
          <w:sz w:val="21"/>
          <w:szCs w:val="21"/>
          <w:u w:val="single"/>
          <w:lang w:val="en-US" w:eastAsia="zh-CN" w:bidi="ar-SA"/>
        </w:rPr>
        <w:t>2.5运维机构配置要求</w:t>
      </w:r>
      <w:bookmarkEnd w:id="5"/>
    </w:p>
    <w:p w14:paraId="42242095">
      <w:pPr>
        <w:spacing w:line="360" w:lineRule="auto"/>
        <w:ind w:firstLine="480"/>
        <w:rPr>
          <w:rFonts w:hint="eastAsia" w:ascii="宋体" w:hAnsi="宋体" w:eastAsia="Arial" w:cs="宋体"/>
          <w:color w:val="auto"/>
          <w:sz w:val="21"/>
          <w:szCs w:val="21"/>
        </w:rPr>
      </w:pPr>
      <w:r>
        <w:rPr>
          <w:rFonts w:hint="eastAsia" w:ascii="宋体" w:hAnsi="宋体" w:eastAsia="Arial" w:cs="宋体"/>
          <w:sz w:val="21"/>
          <w:szCs w:val="21"/>
        </w:rPr>
        <w:t>因本项目涉及软件系统、硬件系统及现场设备众多，项目复杂、设备分布面广、点位分散、</w:t>
      </w:r>
      <w:r>
        <w:rPr>
          <w:rFonts w:hint="eastAsia" w:ascii="宋体" w:hAnsi="宋体" w:eastAsia="Arial" w:cs="宋体"/>
          <w:color w:val="auto"/>
          <w:sz w:val="21"/>
          <w:szCs w:val="21"/>
        </w:rPr>
        <w:t>现场道路情况复杂，资源配置要求：</w:t>
      </w:r>
    </w:p>
    <w:p w14:paraId="7539F4A4">
      <w:pPr>
        <w:spacing w:line="360" w:lineRule="auto"/>
        <w:ind w:firstLine="420" w:firstLineChars="200"/>
        <w:rPr>
          <w:rFonts w:hint="eastAsia" w:ascii="宋体" w:hAnsi="宋体" w:eastAsia="Arial" w:cs="宋体"/>
          <w:b/>
          <w:bCs/>
          <w:color w:val="auto"/>
          <w:sz w:val="21"/>
          <w:szCs w:val="21"/>
        </w:rPr>
      </w:pPr>
      <w:r>
        <w:rPr>
          <w:rFonts w:hint="eastAsia" w:ascii="宋体" w:hAnsi="宋体" w:eastAsia="Arial" w:cs="宋体"/>
          <w:b/>
          <w:bCs/>
          <w:color w:val="auto"/>
          <w:sz w:val="21"/>
          <w:szCs w:val="21"/>
        </w:rPr>
        <w:t>★（1）</w:t>
      </w:r>
      <w:r>
        <w:rPr>
          <w:rFonts w:hint="eastAsia" w:ascii="宋体" w:hAnsi="宋体" w:eastAsia="Arial" w:cs="宋体"/>
          <w:b/>
          <w:bCs/>
          <w:color w:val="auto"/>
          <w:sz w:val="21"/>
          <w:szCs w:val="21"/>
          <w:lang w:eastAsia="zh-CN"/>
        </w:rPr>
        <w:t>投标人</w:t>
      </w:r>
      <w:r>
        <w:rPr>
          <w:rFonts w:hint="eastAsia" w:ascii="宋体" w:hAnsi="宋体" w:eastAsia="Arial" w:cs="宋体"/>
          <w:b/>
          <w:bCs/>
          <w:color w:val="auto"/>
          <w:sz w:val="21"/>
          <w:szCs w:val="21"/>
        </w:rPr>
        <w:t>为本项目配备的</w:t>
      </w:r>
      <w:r>
        <w:rPr>
          <w:rFonts w:hint="eastAsia" w:ascii="宋体" w:hAnsi="宋体" w:eastAsia="宋体" w:cs="宋体"/>
          <w:b/>
          <w:bCs/>
          <w:color w:val="auto"/>
          <w:sz w:val="21"/>
          <w:szCs w:val="21"/>
          <w:lang w:eastAsia="zh-CN"/>
        </w:rPr>
        <w:t>常驻</w:t>
      </w:r>
      <w:r>
        <w:rPr>
          <w:rFonts w:hint="eastAsia" w:ascii="宋体" w:hAnsi="宋体" w:eastAsia="Arial" w:cs="宋体"/>
          <w:b/>
          <w:bCs/>
          <w:color w:val="auto"/>
          <w:sz w:val="21"/>
          <w:szCs w:val="21"/>
        </w:rPr>
        <w:t>运维人员</w:t>
      </w:r>
      <w:r>
        <w:rPr>
          <w:rFonts w:hint="eastAsia" w:ascii="宋体" w:hAnsi="宋体" w:eastAsia="Arial" w:cs="宋体"/>
          <w:b/>
          <w:bCs/>
          <w:color w:val="auto"/>
          <w:sz w:val="21"/>
          <w:szCs w:val="21"/>
          <w:lang w:eastAsia="zh-CN"/>
        </w:rPr>
        <w:t>（项目负责人除外）：</w:t>
      </w:r>
      <w:r>
        <w:rPr>
          <w:rFonts w:hint="eastAsia" w:ascii="宋体" w:hAnsi="宋体" w:eastAsia="Arial" w:cs="宋体"/>
          <w:b/>
          <w:bCs/>
          <w:color w:val="auto"/>
          <w:sz w:val="21"/>
          <w:szCs w:val="21"/>
        </w:rPr>
        <w:t>具有中国环境监测总站颁发的地表水环境质量自动监测技术与运维管理培训合格证的</w:t>
      </w:r>
      <w:r>
        <w:rPr>
          <w:rFonts w:hint="eastAsia" w:ascii="宋体" w:hAnsi="宋体" w:eastAsia="Arial" w:cs="宋体"/>
          <w:b/>
          <w:bCs/>
          <w:color w:val="auto"/>
          <w:sz w:val="21"/>
          <w:szCs w:val="21"/>
          <w:lang w:eastAsia="zh-CN"/>
        </w:rPr>
        <w:t>不少于</w:t>
      </w:r>
      <w:r>
        <w:rPr>
          <w:rFonts w:hint="eastAsia" w:ascii="宋体" w:hAnsi="宋体" w:eastAsia="Arial" w:cs="宋体"/>
          <w:b/>
          <w:bCs/>
          <w:color w:val="auto"/>
          <w:sz w:val="21"/>
          <w:szCs w:val="21"/>
          <w:lang w:val="en-US" w:eastAsia="zh-CN"/>
        </w:rPr>
        <w:t>4人</w:t>
      </w:r>
      <w:r>
        <w:rPr>
          <w:rFonts w:hint="eastAsia" w:ascii="宋体" w:hAnsi="宋体" w:eastAsia="Arial" w:cs="宋体"/>
          <w:b/>
          <w:bCs/>
          <w:color w:val="auto"/>
          <w:sz w:val="21"/>
          <w:szCs w:val="21"/>
        </w:rPr>
        <w:t>。 注：提供</w:t>
      </w:r>
      <w:r>
        <w:rPr>
          <w:rFonts w:hint="eastAsia" w:ascii="宋体" w:hAnsi="宋体" w:eastAsia="Arial" w:cs="宋体"/>
          <w:b/>
          <w:bCs/>
          <w:color w:val="auto"/>
          <w:sz w:val="21"/>
          <w:szCs w:val="21"/>
          <w:lang w:eastAsia="zh-CN"/>
        </w:rPr>
        <w:t>相关证书等证明资料</w:t>
      </w:r>
      <w:r>
        <w:rPr>
          <w:rFonts w:hint="eastAsia" w:ascii="宋体" w:hAnsi="宋体" w:eastAsia="Arial" w:cs="宋体"/>
          <w:b/>
          <w:bCs/>
          <w:color w:val="auto"/>
          <w:sz w:val="21"/>
          <w:szCs w:val="21"/>
        </w:rPr>
        <w:t>及近三个月</w:t>
      </w:r>
      <w:r>
        <w:rPr>
          <w:rFonts w:hint="eastAsia" w:ascii="宋体" w:hAnsi="宋体" w:eastAsia="Arial" w:cs="宋体"/>
          <w:b/>
          <w:bCs/>
          <w:color w:val="auto"/>
          <w:sz w:val="21"/>
          <w:szCs w:val="21"/>
          <w:lang w:val="en-US" w:eastAsia="zh-CN"/>
        </w:rPr>
        <w:t>内任意一个月</w:t>
      </w:r>
      <w:r>
        <w:rPr>
          <w:rFonts w:hint="eastAsia" w:ascii="宋体" w:hAnsi="宋体" w:eastAsia="Arial" w:cs="宋体"/>
          <w:b/>
          <w:bCs/>
          <w:color w:val="auto"/>
          <w:sz w:val="21"/>
          <w:szCs w:val="21"/>
        </w:rPr>
        <w:t>投标</w:t>
      </w:r>
      <w:r>
        <w:rPr>
          <w:rFonts w:hint="eastAsia" w:ascii="宋体" w:hAnsi="宋体" w:eastAsia="Arial" w:cs="宋体"/>
          <w:b/>
          <w:bCs/>
          <w:color w:val="auto"/>
          <w:sz w:val="21"/>
          <w:szCs w:val="21"/>
          <w:lang w:eastAsia="zh-CN"/>
        </w:rPr>
        <w:t>人</w:t>
      </w:r>
      <w:r>
        <w:rPr>
          <w:rFonts w:hint="eastAsia" w:ascii="宋体" w:hAnsi="宋体" w:eastAsia="Arial" w:cs="宋体"/>
          <w:b/>
          <w:bCs/>
          <w:color w:val="auto"/>
          <w:sz w:val="21"/>
          <w:szCs w:val="21"/>
        </w:rPr>
        <w:t>为</w:t>
      </w:r>
      <w:r>
        <w:rPr>
          <w:rFonts w:hint="eastAsia" w:ascii="宋体" w:hAnsi="宋体" w:eastAsia="Arial" w:cs="宋体"/>
          <w:b/>
          <w:bCs/>
          <w:color w:val="auto"/>
          <w:sz w:val="21"/>
          <w:szCs w:val="21"/>
          <w:lang w:eastAsia="zh-CN"/>
        </w:rPr>
        <w:t>其</w:t>
      </w:r>
      <w:r>
        <w:rPr>
          <w:rFonts w:hint="eastAsia" w:ascii="宋体" w:hAnsi="宋体" w:eastAsia="Arial" w:cs="宋体"/>
          <w:b/>
          <w:bCs/>
          <w:color w:val="auto"/>
          <w:sz w:val="21"/>
          <w:szCs w:val="21"/>
        </w:rPr>
        <w:t>缴纳的社保证明材料。</w:t>
      </w:r>
    </w:p>
    <w:p w14:paraId="7BF0CAC0">
      <w:pPr>
        <w:spacing w:line="360" w:lineRule="auto"/>
        <w:ind w:firstLine="420" w:firstLineChars="200"/>
        <w:rPr>
          <w:rFonts w:hint="eastAsia" w:ascii="宋体" w:hAnsi="宋体" w:eastAsia="Arial" w:cs="宋体"/>
          <w:b/>
          <w:bCs/>
          <w:color w:val="auto"/>
          <w:sz w:val="21"/>
          <w:szCs w:val="21"/>
          <w:lang w:val="en-US" w:eastAsia="zh-CN"/>
        </w:rPr>
      </w:pPr>
      <w:r>
        <w:rPr>
          <w:rFonts w:hint="eastAsia" w:ascii="宋体" w:hAnsi="宋体" w:eastAsia="Arial" w:cs="宋体"/>
          <w:b/>
          <w:bCs/>
          <w:color w:val="auto"/>
          <w:sz w:val="21"/>
          <w:szCs w:val="21"/>
          <w:lang w:val="en-US" w:eastAsia="zh-CN" w:bidi="ar-SA"/>
        </w:rPr>
        <w:t>（2）投标人为本项目配备不少于两套便携五参数（水温、pH值、溶解氧、电导率、（浑）浊度）监测设备。</w:t>
      </w:r>
      <w:r>
        <w:rPr>
          <w:rFonts w:hint="eastAsia" w:ascii="宋体" w:hAnsi="宋体" w:eastAsia="Arial" w:cs="宋体"/>
          <w:b/>
          <w:bCs/>
          <w:color w:val="auto"/>
          <w:sz w:val="21"/>
          <w:szCs w:val="21"/>
          <w:lang w:val="en-US" w:eastAsia="zh-CN"/>
        </w:rPr>
        <w:t>投标文件中提供相关证明材料，以及国家法定计量检定机构出具的在有效期内的检定或校准证书复印件。</w:t>
      </w:r>
    </w:p>
    <w:p w14:paraId="5CDDD928">
      <w:pPr>
        <w:spacing w:line="360" w:lineRule="auto"/>
        <w:ind w:firstLine="420" w:firstLineChars="200"/>
        <w:rPr>
          <w:rFonts w:hint="eastAsia" w:ascii="宋体" w:hAnsi="宋体" w:eastAsia="Arial" w:cs="宋体"/>
          <w:b/>
          <w:bCs/>
          <w:color w:val="auto"/>
          <w:sz w:val="21"/>
          <w:szCs w:val="21"/>
          <w:lang w:val="en-US" w:eastAsia="zh-CN"/>
        </w:rPr>
      </w:pPr>
      <w:r>
        <w:rPr>
          <w:rFonts w:hint="eastAsia" w:ascii="宋体" w:hAnsi="宋体" w:eastAsia="Arial" w:cs="宋体"/>
          <w:b/>
          <w:bCs/>
          <w:color w:val="auto"/>
          <w:sz w:val="21"/>
          <w:szCs w:val="21"/>
          <w:lang w:val="en-US" w:eastAsia="zh-CN"/>
        </w:rPr>
        <w:t>（3）投标人需为本项目配备不少于一套备用仪器设备（备机），备机监测范围需涵盖本项目监测参数内容。投标文件中提供仪器备机清单或证明材料。</w:t>
      </w:r>
    </w:p>
    <w:p w14:paraId="329D9FCD">
      <w:pPr>
        <w:spacing w:line="360" w:lineRule="auto"/>
        <w:ind w:firstLine="420" w:firstLineChars="200"/>
        <w:rPr>
          <w:rFonts w:hint="eastAsia" w:ascii="宋体" w:hAnsi="宋体" w:eastAsia="Arial" w:cs="宋体"/>
          <w:color w:val="auto"/>
          <w:sz w:val="21"/>
          <w:szCs w:val="21"/>
          <w:lang w:val="en-US" w:eastAsia="zh-CN"/>
        </w:rPr>
      </w:pPr>
      <w:r>
        <w:rPr>
          <w:rFonts w:hint="eastAsia" w:ascii="宋体" w:hAnsi="宋体" w:eastAsia="Arial" w:cs="宋体"/>
          <w:color w:val="auto"/>
          <w:sz w:val="21"/>
          <w:szCs w:val="21"/>
          <w:lang w:val="en-US" w:eastAsia="zh-CN"/>
        </w:rPr>
        <w:t>（4）为了确保现场设备故障后能及时恢复，当设备出现故障后要求中标人在4小时内将备品备件送达采购人指定地点安装完成。</w:t>
      </w:r>
    </w:p>
    <w:p w14:paraId="3C3392A9">
      <w:pPr>
        <w:spacing w:line="480" w:lineRule="exact"/>
        <w:ind w:firstLine="480"/>
        <w:contextualSpacing/>
        <w:rPr>
          <w:rFonts w:hint="eastAsia"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5</w:t>
      </w:r>
      <w:r>
        <w:rPr>
          <w:rFonts w:hint="eastAsia" w:ascii="宋体" w:hAnsi="宋体" w:eastAsia="Arial" w:cs="宋体"/>
          <w:sz w:val="21"/>
          <w:szCs w:val="21"/>
        </w:rPr>
        <w:t>）中标人需要配备必要的质量控制设备，配备标准溶液，标准溶液须为生态环境部标样所或中国计量院生产的一级标准样品或物质</w:t>
      </w:r>
    </w:p>
    <w:p w14:paraId="54A11FE9">
      <w:pPr>
        <w:spacing w:line="480" w:lineRule="exact"/>
        <w:ind w:firstLine="480"/>
        <w:contextualSpacing/>
        <w:rPr>
          <w:rFonts w:hint="eastAsia"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6</w:t>
      </w:r>
      <w:r>
        <w:rPr>
          <w:rFonts w:hint="eastAsia" w:ascii="宋体" w:hAnsi="宋体" w:eastAsia="Arial" w:cs="宋体"/>
          <w:sz w:val="21"/>
          <w:szCs w:val="21"/>
        </w:rPr>
        <w:t>）在自动监测系统运维及管理期间，中标人应严格按照国家、省相关操作规范和规章制度，对所管理的系统及仪器设备进行规范操作和精心维护及必要维修，保证系统及仪器设备的正常运行，达到市环保局提出的系统及仪器设备考核指标要求。中标人必须接受市环保局组织的定期、不定期检查和考核。</w:t>
      </w:r>
    </w:p>
    <w:p w14:paraId="02DF5B92">
      <w:pPr>
        <w:spacing w:line="480" w:lineRule="exact"/>
        <w:ind w:firstLine="480"/>
        <w:contextualSpacing/>
        <w:rPr>
          <w:rFonts w:hint="default"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7</w:t>
      </w:r>
      <w:r>
        <w:rPr>
          <w:rFonts w:hint="eastAsia" w:ascii="宋体" w:hAnsi="宋体" w:eastAsia="Arial" w:cs="宋体"/>
          <w:sz w:val="21"/>
          <w:szCs w:val="21"/>
        </w:rPr>
        <w:t>）投标单位需承诺，中标后按照国家、省制定的相关运行维护细则，做好运维质控管理等工作，如违反环保部《关于环境监测数据弄虚作假行为判定及处理办法》（环发[2015]175号）中相关内容，将上报财政监管部门将其纳入不良供应商名单。</w:t>
      </w:r>
    </w:p>
    <w:p w14:paraId="763803E2">
      <w:pPr>
        <w:spacing w:line="520" w:lineRule="exact"/>
        <w:ind w:firstLine="480"/>
        <w:outlineLvl w:val="2"/>
        <w:rPr>
          <w:rFonts w:hint="default" w:ascii="宋体" w:hAnsi="宋体" w:eastAsia="Arial" w:cs="宋体"/>
          <w:sz w:val="21"/>
          <w:szCs w:val="21"/>
          <w:u w:val="single"/>
        </w:rPr>
      </w:pPr>
      <w:r>
        <w:rPr>
          <w:rFonts w:hint="eastAsia" w:ascii="宋体" w:hAnsi="宋体" w:eastAsia="Arial" w:cs="宋体"/>
          <w:sz w:val="21"/>
          <w:szCs w:val="21"/>
          <w:u w:val="single"/>
          <w:lang w:val="en-US" w:eastAsia="zh-CN"/>
        </w:rPr>
        <w:t>2.6</w:t>
      </w:r>
      <w:r>
        <w:rPr>
          <w:rFonts w:hint="eastAsia" w:ascii="宋体" w:hAnsi="宋体" w:eastAsia="Arial" w:cs="宋体"/>
          <w:sz w:val="21"/>
          <w:szCs w:val="21"/>
          <w:u w:val="single"/>
        </w:rPr>
        <w:t>考核方法与评价原则</w:t>
      </w:r>
    </w:p>
    <w:p w14:paraId="1223D527">
      <w:pPr>
        <w:widowControl w:val="0"/>
        <w:spacing w:before="200" w:after="200" w:line="360" w:lineRule="auto"/>
        <w:ind w:firstLine="420" w:firstLineChars="200"/>
        <w:jc w:val="both"/>
        <w:rPr>
          <w:rFonts w:hint="eastAsia" w:ascii="Times New Roman" w:hAnsi="Times New Roman" w:eastAsia="宋体" w:cs="仿宋"/>
          <w:color w:val="auto"/>
          <w:sz w:val="24"/>
          <w:szCs w:val="22"/>
          <w:highlight w:val="none"/>
          <w:lang w:val="en-US" w:eastAsia="zh-CN" w:bidi="ar-SA"/>
        </w:rPr>
      </w:pPr>
      <w:r>
        <w:rPr>
          <w:rFonts w:hint="eastAsia" w:ascii="宋体" w:hAnsi="宋体" w:eastAsia="Arial" w:cs="宋体"/>
          <w:sz w:val="21"/>
          <w:szCs w:val="21"/>
          <w:lang w:val="en-US" w:eastAsia="zh-CN" w:bidi="ar-SA"/>
        </w:rPr>
        <w:t>中标单位每半年和每年分别提交一份资料齐全的运行维护报告，采购人根据提交的运行维护报告，对中标单位运维质量每半年考核一次，考核内容见运维质量考核评分表，考核结果分为合格和不合格，合格线为80分。低于80分的为考核不合格，将不予支付半年运维费。</w:t>
      </w:r>
    </w:p>
    <w:p w14:paraId="0D85991E">
      <w:pPr>
        <w:spacing w:line="400" w:lineRule="exact"/>
        <w:ind w:firstLine="480" w:firstLineChars="200"/>
        <w:rPr>
          <w:rFonts w:hint="eastAsia" w:ascii="宋体" w:hAnsi="宋体"/>
          <w:color w:val="auto"/>
          <w:sz w:val="24"/>
          <w:szCs w:val="24"/>
          <w:highlight w:val="none"/>
        </w:rPr>
      </w:pPr>
    </w:p>
    <w:p w14:paraId="1606E1B2">
      <w:pPr>
        <w:spacing w:line="400" w:lineRule="exact"/>
        <w:ind w:firstLine="480" w:firstLineChars="200"/>
        <w:rPr>
          <w:rFonts w:hint="eastAsia" w:ascii="宋体" w:hAnsi="宋体"/>
          <w:color w:val="auto"/>
          <w:sz w:val="24"/>
          <w:szCs w:val="24"/>
          <w:highlight w:val="none"/>
        </w:rPr>
      </w:pPr>
    </w:p>
    <w:p w14:paraId="39620B36">
      <w:pPr>
        <w:spacing w:line="400" w:lineRule="exact"/>
        <w:ind w:firstLine="480" w:firstLineChars="200"/>
        <w:rPr>
          <w:rFonts w:hint="eastAsia" w:ascii="宋体" w:hAnsi="宋体"/>
          <w:color w:val="auto"/>
          <w:sz w:val="24"/>
          <w:szCs w:val="24"/>
          <w:highlight w:val="none"/>
        </w:rPr>
      </w:pPr>
    </w:p>
    <w:p w14:paraId="30555E66">
      <w:pPr>
        <w:spacing w:line="400" w:lineRule="exact"/>
        <w:ind w:firstLine="480" w:firstLineChars="200"/>
        <w:rPr>
          <w:rFonts w:hint="eastAsia" w:ascii="宋体" w:hAnsi="宋体"/>
          <w:color w:val="auto"/>
          <w:sz w:val="24"/>
          <w:szCs w:val="24"/>
          <w:highlight w:val="none"/>
        </w:rPr>
      </w:pPr>
    </w:p>
    <w:p w14:paraId="69035AA1">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0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4">
    <w:name w:val="heading 3"/>
    <w:basedOn w:val="5"/>
    <w:next w:val="6"/>
    <w:unhideWhenUsed/>
    <w:qFormat/>
    <w:uiPriority w:val="9"/>
    <w:pPr>
      <w:keepNext/>
      <w:keepLines/>
      <w:spacing w:before="320" w:after="200"/>
      <w:outlineLvl w:val="2"/>
    </w:pPr>
    <w:rPr>
      <w:rFonts w:ascii="Arial" w:hAnsi="Arial" w:eastAsia="Arial" w:cs="Arial"/>
      <w:sz w:val="30"/>
      <w:szCs w:val="3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宋体" w:hAnsi="宋体" w:eastAsia="宋体"/>
      <w:sz w:val="24"/>
    </w:rPr>
  </w:style>
  <w:style w:type="paragraph" w:styleId="3">
    <w:name w:val="Body Text"/>
    <w:basedOn w:val="1"/>
    <w:next w:val="1"/>
    <w:qFormat/>
    <w:uiPriority w:val="1"/>
    <w:pPr>
      <w:ind w:firstLine="600"/>
    </w:pPr>
    <w:rPr>
      <w:rFonts w:ascii="Times New Roman" w:hAnsi="Times New Roman" w:eastAsia="方正仿宋_GBK"/>
      <w:b/>
      <w:bCs/>
      <w:color w:val="FF0000"/>
      <w:sz w:val="30"/>
      <w:szCs w:val="30"/>
    </w:rPr>
  </w:style>
  <w:style w:type="paragraph" w:customStyle="1" w:styleId="5">
    <w:name w:val="Normal1"/>
    <w:next w:val="4"/>
    <w:qFormat/>
    <w:uiPriority w:val="0"/>
    <w:rPr>
      <w:rFonts w:ascii="Times New Roman" w:hAnsi="Times New Roman" w:eastAsia="Times New Roman" w:cs="Times New Roman"/>
      <w:sz w:val="24"/>
      <w:szCs w:val="24"/>
      <w:lang w:val="en-US" w:eastAsia="zh-CN" w:bidi="ar-SA"/>
    </w:rPr>
  </w:style>
  <w:style w:type="paragraph" w:customStyle="1" w:styleId="6">
    <w:name w:val="Normal_19"/>
    <w:next w:val="7"/>
    <w:qFormat/>
    <w:uiPriority w:val="0"/>
    <w:rPr>
      <w:rFonts w:ascii="Times New Roman" w:hAnsi="Times New Roman" w:eastAsia="Times New Roman" w:cs="Times New Roman"/>
      <w:sz w:val="24"/>
      <w:szCs w:val="24"/>
      <w:lang w:val="en-US" w:eastAsia="zh-CN" w:bidi="ar-SA"/>
    </w:rPr>
  </w:style>
  <w:style w:type="paragraph" w:customStyle="1" w:styleId="7">
    <w:name w:val="正文1"/>
    <w:next w:val="8"/>
    <w:qFormat/>
    <w:uiPriority w:val="0"/>
    <w:pPr>
      <w:widowControl w:val="0"/>
      <w:jc w:val="both"/>
    </w:pPr>
    <w:rPr>
      <w:rFonts w:ascii="Times New Roman" w:hAnsi="Times New Roman" w:eastAsia="宋体" w:cs="Times New Roman"/>
      <w:szCs w:val="21"/>
      <w:lang w:val="en-US" w:eastAsia="zh-CN" w:bidi="ar-SA"/>
    </w:rPr>
  </w:style>
  <w:style w:type="paragraph" w:customStyle="1" w:styleId="8">
    <w:name w:val="Body Text First Indent1"/>
    <w:basedOn w:val="9"/>
    <w:unhideWhenUsed/>
    <w:qFormat/>
    <w:uiPriority w:val="99"/>
    <w:pPr>
      <w:ind w:firstLine="420" w:firstLineChars="100"/>
    </w:pPr>
  </w:style>
  <w:style w:type="paragraph" w:customStyle="1" w:styleId="9">
    <w:name w:val="Body Text1"/>
    <w:basedOn w:val="7"/>
    <w:unhideWhenUsed/>
    <w:qFormat/>
    <w:uiPriority w:val="99"/>
    <w:pPr>
      <w:spacing w:after="120"/>
    </w:pPr>
  </w:style>
  <w:style w:type="paragraph" w:customStyle="1" w:styleId="12">
    <w:name w:val="UserStyle_266"/>
    <w:qFormat/>
    <w:uiPriority w:val="0"/>
    <w:pPr>
      <w:jc w:val="both"/>
    </w:pPr>
    <w:rPr>
      <w:rFonts w:hint="default" w:ascii="Times New Roman" w:hAnsi="Times New Roman" w:eastAsia="宋体" w:cs="Times New Roman"/>
      <w:sz w:val="21"/>
      <w:szCs w:val="24"/>
    </w:rPr>
  </w:style>
  <w:style w:type="paragraph" w:customStyle="1" w:styleId="13">
    <w:name w:val="Normal_19_0"/>
    <w:basedOn w:val="5"/>
    <w:next w:val="14"/>
    <w:qFormat/>
    <w:uiPriority w:val="0"/>
    <w:rPr>
      <w:rFonts w:ascii="黑体" w:hAnsi="黑体" w:eastAsia="黑体"/>
      <w:b/>
      <w:sz w:val="32"/>
    </w:rPr>
  </w:style>
  <w:style w:type="paragraph" w:customStyle="1" w:styleId="14">
    <w:name w:val="Body Text First Indent_1_0"/>
    <w:basedOn w:val="13"/>
    <w:qFormat/>
    <w:uiPriority w:val="0"/>
    <w:pPr>
      <w:spacing w:after="120"/>
      <w:ind w:firstLine="100" w:firstLineChars="100"/>
    </w:pPr>
  </w:style>
  <w:style w:type="character" w:customStyle="1" w:styleId="15">
    <w:name w:val="不明显强调1"/>
    <w:qFormat/>
    <w:uiPriority w:val="19"/>
    <w:rPr>
      <w:rFonts w:ascii="Calibri" w:hAnsi="Calibri" w:eastAsia="宋体"/>
      <w:iCs/>
      <w:color w:val="404040"/>
      <w:sz w:val="21"/>
    </w:rPr>
  </w:style>
  <w:style w:type="paragraph" w:customStyle="1" w:styleId="16">
    <w:name w:val="正文_3"/>
    <w:next w:val="17"/>
    <w:qFormat/>
    <w:uiPriority w:val="0"/>
    <w:pPr>
      <w:widowControl w:val="0"/>
      <w:jc w:val="both"/>
    </w:pPr>
    <w:rPr>
      <w:rFonts w:ascii="Calibri" w:hAnsi="Calibri" w:eastAsia="宋体" w:cs="Times New Roman"/>
      <w:sz w:val="21"/>
      <w:szCs w:val="22"/>
      <w:lang w:val="en-US" w:eastAsia="zh-CN" w:bidi="ar-SA"/>
    </w:rPr>
  </w:style>
  <w:style w:type="paragraph" w:customStyle="1" w:styleId="17">
    <w:name w:val="正文首行缩进 2_1"/>
    <w:basedOn w:val="18"/>
    <w:next w:val="20"/>
    <w:qFormat/>
    <w:uiPriority w:val="0"/>
    <w:pPr>
      <w:spacing w:after="120"/>
      <w:ind w:left="200" w:firstLine="200"/>
    </w:pPr>
    <w:rPr>
      <w:rFonts w:ascii="Times New Roman" w:hAnsi="Times New Roman"/>
      <w:sz w:val="24"/>
      <w:szCs w:val="24"/>
    </w:rPr>
  </w:style>
  <w:style w:type="paragraph" w:customStyle="1" w:styleId="18">
    <w:name w:val="正文文本缩进_1"/>
    <w:basedOn w:val="19"/>
    <w:next w:val="17"/>
    <w:qFormat/>
    <w:uiPriority w:val="0"/>
    <w:pPr>
      <w:ind w:firstLine="225"/>
    </w:pPr>
    <w:rPr>
      <w:rFonts w:ascii="仿宋_GB2312" w:eastAsia="仿宋_GB2312"/>
      <w:sz w:val="32"/>
    </w:rPr>
  </w:style>
  <w:style w:type="paragraph" w:customStyle="1" w:styleId="19">
    <w:name w:val="正文_18"/>
    <w:next w:val="18"/>
    <w:qFormat/>
    <w:uiPriority w:val="0"/>
    <w:pPr>
      <w:widowControl w:val="0"/>
      <w:jc w:val="both"/>
    </w:pPr>
    <w:rPr>
      <w:rFonts w:ascii="Calibri" w:hAnsi="Calibri" w:eastAsia="宋体" w:cs="Times New Roman"/>
      <w:sz w:val="21"/>
      <w:szCs w:val="22"/>
      <w:lang w:val="en-US" w:eastAsia="zh-CN" w:bidi="ar-SA"/>
    </w:rPr>
  </w:style>
  <w:style w:type="paragraph" w:customStyle="1" w:styleId="20">
    <w:name w:val="xl53_0"/>
    <w:next w:val="16"/>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21">
    <w:name w:val="列出段落_0"/>
    <w:unhideWhenUsed/>
    <w:qFormat/>
    <w:uiPriority w:val="1"/>
    <w:pPr>
      <w:widowControl w:val="0"/>
      <w:spacing w:after="160" w:line="259" w:lineRule="auto"/>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2025-10-17T01:54:30Z</dcterms:created>
  <dc:creator>Administrator</dc:creator>
  <cp:lastModifiedBy>85.87</cp:lastModifiedBy>
  <dcterms:modified xsi:type="dcterms:W3CDTF">2025-10-17T01:54:34Z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eyJoZGlkIjoiMDk4MzM4Nzk3YWZlZmUxOTYzZjA2NjdjYTkxMWE1OWUiLCJ1c2VySWQiOiIzNjc4NDQ0MTgifQ==</vt:lpwstr>
  </property>
  <property fmtid="{D5CDD505-2E9C-101B-9397-08002B2CF9AE}" pid="4" name="ICV">
    <vt:lpwstr>BE4A187FAD12429DB0EE84F8F3B6D11E_12</vt:lpwstr>
  </property>
</Properties>
</file>